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  <w:lang w:val="pt-PT"/>
        </w:rPr>
      </w:pPr>
      <w:r w:rsidRPr="00812640">
        <w:rPr>
          <w:rFonts w:ascii="Arial" w:hAnsi="Arial" w:cs="Arial"/>
          <w:b/>
          <w:color w:val="000000"/>
          <w:sz w:val="32"/>
          <w:szCs w:val="32"/>
          <w:lang w:val="pt-PT"/>
        </w:rPr>
        <w:t>Estatuto do desarmamento lei 10.826 de 22 de Dezembro de 2003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 xml:space="preserve">          O </w:t>
      </w:r>
      <w:r w:rsidRPr="00812640">
        <w:rPr>
          <w:rFonts w:ascii="Arial" w:hAnsi="Arial" w:cs="Arial"/>
          <w:bCs/>
          <w:color w:val="000000"/>
          <w:lang w:val="pt-PT"/>
        </w:rPr>
        <w:t>Estatuto do Desarmamento</w:t>
      </w:r>
      <w:r w:rsidRPr="00812640">
        <w:rPr>
          <w:rFonts w:ascii="Arial" w:hAnsi="Arial" w:cs="Arial"/>
          <w:color w:val="000000"/>
          <w:lang w:val="pt-PT"/>
        </w:rPr>
        <w:t xml:space="preserve"> é uma </w:t>
      </w:r>
      <w:hyperlink r:id="rId4" w:tooltip="Lei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lei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</w:t>
      </w:r>
      <w:hyperlink r:id="rId5" w:tooltip="Federal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federal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que entrou em vigor no dia seguinte à sanção do presidente da República, </w:t>
      </w:r>
      <w:hyperlink r:id="rId6" w:tooltip="Luiz Inácio Lula da Silva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Luiz Inácio Lula da Silva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. Trata-se da </w:t>
      </w:r>
      <w:hyperlink r:id="rId7" w:tooltip="Lei 10826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Lei 10826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de </w:t>
      </w:r>
      <w:hyperlink r:id="rId8" w:tooltip="22 de dezembro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22 de dezembro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de </w:t>
      </w:r>
      <w:hyperlink r:id="rId9" w:tooltip="2003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2003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, regulamentada pelo decreto 5123 de </w:t>
      </w:r>
      <w:hyperlink r:id="rId10" w:tooltip="1 de julho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1</w:t>
        </w:r>
        <w:r w:rsidRPr="00812640">
          <w:rPr>
            <w:rStyle w:val="Hyperlink"/>
            <w:rFonts w:ascii="Arial" w:hAnsi="Arial" w:cs="Arial"/>
            <w:color w:val="000000"/>
            <w:u w:val="none"/>
            <w:vertAlign w:val="superscript"/>
            <w:lang w:val="pt-PT"/>
          </w:rPr>
          <w:t>o</w:t>
        </w:r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 xml:space="preserve"> de julho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de </w:t>
      </w:r>
      <w:hyperlink r:id="rId11" w:tooltip="2004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2004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e publicada no </w:t>
      </w:r>
      <w:hyperlink r:id="rId12" w:tooltip="Diário Oficial da União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Diário Oficial da União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em </w:t>
      </w:r>
      <w:hyperlink r:id="rId13" w:tooltip="2 de julho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2 de julho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de </w:t>
      </w:r>
      <w:hyperlink r:id="rId14" w:tooltip="2004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2004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, que "dispõe sobre registro, posse e comercialização de armas de fogo e munição". O Estatuto entrou em vigor no dia seguinte à sanção do presidente da </w:t>
      </w:r>
      <w:hyperlink r:id="rId15" w:tooltip="República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República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, quando foi publicada no Diário Oficial da União.  A necessidade de regulamentação do estatuto ocorreu a fim de aplicar alguns de seus artigos, como, por exemplo o teste psicotécnico para a aquisição e porte de </w:t>
      </w:r>
      <w:hyperlink r:id="rId16" w:tooltip="Armas de fogo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armas de fogo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, marcação de munição e indenização para quem entregar sua arma, e foi elaborada com publicação na Internet durante 15 dias, de modo que a população pudesse enviar suas sugestões, além de audiência pública. Após o decorrer de três meses e meio, o texto proposto foi recebido pelos Ministros da Justiça, </w:t>
      </w:r>
      <w:hyperlink r:id="rId17" w:tooltip="Márcio Thomaz Bastos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Márcio Thomaz Bastos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, e da Defesa, </w:t>
      </w:r>
      <w:hyperlink r:id="rId18" w:tooltip="José Viegas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José Viegas</w:t>
        </w:r>
      </w:hyperlink>
      <w:r w:rsidRPr="00812640">
        <w:rPr>
          <w:rFonts w:ascii="Arial" w:hAnsi="Arial" w:cs="Arial"/>
          <w:color w:val="000000"/>
          <w:lang w:val="pt-PT"/>
        </w:rPr>
        <w:t>.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 xml:space="preserve">          A lei proíbe o porte de armas por civis, com exceção para os casos onde haja necessidade comprovada; nesses casos, haverá uma duração previamente determinada e sujeita o indivíduo à demonstração de sua necessidade em portá-la, com efetuação de registro e porte junto à </w:t>
      </w:r>
      <w:hyperlink r:id="rId19" w:tooltip="Polícia Federal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Polícia Federal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(Sinarm), para armas de uso permitido, ou ao </w:t>
      </w:r>
      <w:hyperlink r:id="rId20" w:tooltip="Exército Brasileiro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Comando do Exército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(Sigma), para armas de uso restrito, e pagar as taxas, que foram aumentadas. Um exemplo dessas situações são as pessoas que moram em locais isolados, que podem requerer autorização para porte de armas para se defender. O porte pode ser cassado a qualquer tempo, principalmente se o portador for abordado com sua arma em estado de embriaguez ou sob efeito de drogas ou medicamentos que provoquem alteração do desempenho intelectual ou motor.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 xml:space="preserve">Somente poderão andar armados os responsáveis pela garantia da </w:t>
      </w:r>
      <w:hyperlink r:id="rId21" w:tooltip="Segurança pública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segurança pública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, integrantes das </w:t>
      </w:r>
      <w:hyperlink r:id="rId22" w:tooltip="Forças Armadas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Forças Armadas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, </w:t>
      </w:r>
      <w:hyperlink r:id="rId23" w:tooltip="Polícia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policiais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, agentes de </w:t>
      </w:r>
      <w:hyperlink r:id="rId24" w:tooltip="Serviço de inteligência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inteligência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, auditores fiscais e agentes de </w:t>
      </w:r>
      <w:hyperlink r:id="rId25" w:tooltip="Segurança privada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segurança privada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. Já os </w:t>
      </w:r>
      <w:hyperlink r:id="rId26" w:tooltip="Civis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civis</w:t>
        </w:r>
      </w:hyperlink>
      <w:r w:rsidRPr="00812640">
        <w:rPr>
          <w:rFonts w:ascii="Arial" w:hAnsi="Arial" w:cs="Arial"/>
          <w:color w:val="000000"/>
          <w:lang w:val="pt-PT"/>
        </w:rPr>
        <w:t>, mediante a concessão do porte da arma de fogo, só podem comprar agora os maiores de 25 anos, e não maiores de 21 anos, devido a estatísticas que sugerem grande número de perpetradores e vítimas de mortes ocorridas com jovens entre 17 e 24 anos.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 xml:space="preserve">          Quanto à </w:t>
      </w:r>
      <w:hyperlink r:id="rId27" w:tooltip="Legislação penal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legislação penal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decorrente do comércio ilegal e o tráfico internacional de armas de fogo, foram previstas penas mais específicas para essas condutas, até então especificadas como contrabando e descaminho. As penas para ambos os casos é de reclusão de quatro a oito anos e multa. Se a arma, acessório ou munição comercializada ilegalmente for de uso proibido ou restrito, a pena é aumentada da metade. Se o crime for cometido por integrante dos órgãos militares, policiais, agentes, guardas prisionais, segurança privada e de transporte de valores, ou por entidades desportistas, a pena também será aumentada da metade. Se a arma de fogo for de uso restrito, os crimes de posse ou porte ilegal, o comércio ilegal e o tráfico internacional são insuscetíveis de liberdade provisória, ou seja, o acusado não poderá responder o processo em liberdade, considerando-se crime inafiançável. Só poderão pagar fiança aqueles que portar arma de fogo de uso permitido e registrado em seu nome.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 xml:space="preserve">          Conquanto que as armas sejam registradas, o proprietário poderá entregá-la a qualquer tempo e o Estado irá indenizar seus proprietários. Estes tem o prazo de três anos para a renovação do registro. Foi extinto o prazo para os usuários de armas de fogo sem registro após a </w:t>
      </w:r>
      <w:hyperlink r:id="rId28" w:tooltip="Campanha do Desarmamento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Campanha do Desarmamento</w:t>
        </w:r>
      </w:hyperlink>
      <w:r w:rsidRPr="00812640">
        <w:rPr>
          <w:rFonts w:ascii="Arial" w:hAnsi="Arial" w:cs="Arial"/>
          <w:color w:val="000000"/>
          <w:lang w:val="pt-PT"/>
        </w:rPr>
        <w:t>.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 xml:space="preserve">          É importate lembrar que em </w:t>
      </w:r>
      <w:hyperlink r:id="rId29" w:tooltip="23 de outubro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23 de outubro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de </w:t>
      </w:r>
      <w:hyperlink r:id="rId30" w:tooltip="2005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2005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, o governo promoveu um </w:t>
      </w:r>
      <w:hyperlink r:id="rId31" w:tooltip="Referendo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referendo</w:t>
        </w:r>
      </w:hyperlink>
      <w:r w:rsidRPr="00812640">
        <w:rPr>
          <w:rFonts w:ascii="Arial" w:hAnsi="Arial" w:cs="Arial"/>
          <w:color w:val="000000"/>
          <w:lang w:val="pt-PT"/>
        </w:rPr>
        <w:t xml:space="preserve"> popular para saber se a população concordaria com a proibição da venda de arma de fogo e munição em todo o território nacional denominado </w:t>
      </w:r>
      <w:hyperlink r:id="rId32" w:tooltip="Referendo Sobre a Proibição do Comércio de Armas e Munição no Brasil" w:history="1">
        <w:r w:rsidRPr="00812640">
          <w:rPr>
            <w:rStyle w:val="Hyperlink"/>
            <w:rFonts w:ascii="Arial" w:hAnsi="Arial" w:cs="Arial"/>
            <w:color w:val="000000"/>
            <w:u w:val="none"/>
            <w:lang w:val="pt-PT"/>
          </w:rPr>
          <w:t>Referendo Sobre a Proibição do Comércio de Armas e Munição no Brasil</w:t>
        </w:r>
      </w:hyperlink>
      <w:r w:rsidRPr="00812640">
        <w:rPr>
          <w:rFonts w:ascii="Arial" w:hAnsi="Arial" w:cs="Arial"/>
          <w:color w:val="000000"/>
          <w:lang w:val="pt-PT"/>
        </w:rPr>
        <w:t>. A medida não foi aprovada com larga vitória pela rejeição da probição da venda de armas e munições no País, representado 63,94% dos votos "NÃO" e 36,06% dos votos "SIM".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 xml:space="preserve">         Dessa forma, a aquisição de armas por particulares (civis) é permitida no Brasil, desde que cumpridos os seguintes requisitos: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>a) Possuir idade mínima de 25 (vinte e cinco) anos;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 xml:space="preserve"> b) Possuir ocupação licita e residência certa; 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 xml:space="preserve">c) Comprovar idoneidade por meio de apresentação de certidões negativas de antecedentes criminais, certidões negativas de distribuição de processos criminais e não estar "respondendo a inquerito policial"; 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>d) Apresentar capacidade técnica e aptidão psicologica para manuseio de arma de fogo, atestados por profissionais credenciados pela Polícia Federal;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 xml:space="preserve"> e) Declarar efetiva necessidade; 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>f) Proceder ao pagamento da respectiva taxa (R$ 60,00);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>O termo empregado pelo artigo 4º, inciso I, do Estatudo do desarmamento, relativamente ao termo "respondendo inquerito policial" foi uma grave impropriedade legislativa, uma vez que o inquerito policial é um procedimento inquisitivo que, segundo doutrinas e jurisprudências atuais, não garante ao investigado o direito ao contraditó</w:t>
      </w:r>
      <w:bookmarkStart w:id="0" w:name="_GoBack"/>
      <w:bookmarkEnd w:id="0"/>
      <w:r w:rsidRPr="00812640">
        <w:rPr>
          <w:rFonts w:ascii="Arial" w:hAnsi="Arial" w:cs="Arial"/>
          <w:color w:val="000000"/>
          <w:lang w:val="pt-PT"/>
        </w:rPr>
        <w:t>rio e ampla defesa, inexistindo, na Lei Processual Penal, qualquer dispositivo que determine quando uma pessoa passa a "responder" ao inquerito policial, que, não raro, se desenvolve sem a ciência do investigado.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b/>
          <w:color w:val="000000"/>
          <w:sz w:val="32"/>
          <w:szCs w:val="32"/>
          <w:lang w:val="pt-PT"/>
        </w:rPr>
      </w:pPr>
      <w:r w:rsidRPr="00812640">
        <w:rPr>
          <w:rFonts w:ascii="Arial" w:hAnsi="Arial" w:cs="Arial"/>
          <w:b/>
          <w:color w:val="000000"/>
          <w:sz w:val="32"/>
          <w:szCs w:val="32"/>
          <w:lang w:val="pt-PT"/>
        </w:rPr>
        <w:t>Conclusão</w:t>
      </w:r>
    </w:p>
    <w:p w:rsidR="001328F0" w:rsidRPr="00812640" w:rsidRDefault="001328F0" w:rsidP="00087D4C">
      <w:pPr>
        <w:pStyle w:val="NormalWeb"/>
        <w:spacing w:line="360" w:lineRule="auto"/>
        <w:jc w:val="both"/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 xml:space="preserve">          Em linhas gerais, verificamos que o estatuto do desarmamento, trata-se de uma lei especial, que além de regular a parte da aquisição de arma de fogo, displina as modalidades em que a pessoa poderá ou não portar o objeto da lei. Assim, entende-se que a lei possui natureza administrativa, contudo, existe as previsoes de condutadas criminosas, onde, o cidadão, em desconformidade com a legilçao objeto de estudo, porta possui e vende arma de forma ilicita, cominando assim a incidência de uma possivel pena por parte do Estado (jus puniendi in abstracto). </w:t>
      </w: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b/>
          <w:color w:val="000000"/>
          <w:sz w:val="32"/>
          <w:szCs w:val="32"/>
          <w:lang w:val="pt-PT"/>
        </w:rPr>
      </w:pPr>
      <w:r w:rsidRPr="00812640">
        <w:rPr>
          <w:rFonts w:ascii="Arial" w:hAnsi="Arial" w:cs="Arial"/>
          <w:b/>
          <w:color w:val="000000"/>
          <w:sz w:val="32"/>
          <w:szCs w:val="32"/>
          <w:lang w:val="pt-PT"/>
        </w:rPr>
        <w:t>Bibliografia</w:t>
      </w: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>Curso de Direito Penal, volume 4, legislação penal especial; Fernando Capez. – 3 ed. – Sao Paulo: Saraiva 2008</w:t>
      </w: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>Brasil, Código Penal.</w:t>
      </w: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  <w:r w:rsidRPr="00812640">
        <w:rPr>
          <w:rFonts w:ascii="Arial" w:hAnsi="Arial" w:cs="Arial"/>
          <w:color w:val="000000"/>
          <w:lang w:val="pt-PT"/>
        </w:rPr>
        <w:t>Mirabete, Julio Fabrini – 22 Ed. – São Paulo: Atlas 2007</w:t>
      </w: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sz w:val="60"/>
          <w:szCs w:val="6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sz w:val="60"/>
          <w:szCs w:val="6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sz w:val="60"/>
          <w:szCs w:val="60"/>
          <w:lang w:val="pt-PT"/>
        </w:rPr>
      </w:pPr>
    </w:p>
    <w:p w:rsidR="001328F0" w:rsidRPr="00812640" w:rsidRDefault="001328F0">
      <w:pPr>
        <w:rPr>
          <w:rFonts w:ascii="Arial" w:hAnsi="Arial" w:cs="Arial"/>
          <w:color w:val="000000"/>
          <w:sz w:val="60"/>
          <w:szCs w:val="60"/>
          <w:lang w:val="pt-PT"/>
        </w:rPr>
      </w:pPr>
    </w:p>
    <w:p w:rsidR="001328F0" w:rsidRPr="00812640" w:rsidRDefault="001328F0">
      <w:pPr>
        <w:rPr>
          <w:rFonts w:ascii="Arial" w:hAnsi="Arial" w:cs="Arial"/>
          <w:b/>
          <w:color w:val="000000"/>
          <w:sz w:val="70"/>
          <w:szCs w:val="70"/>
          <w:lang w:val="pt-PT"/>
        </w:rPr>
      </w:pPr>
    </w:p>
    <w:p w:rsidR="001328F0" w:rsidRPr="00812640" w:rsidRDefault="001328F0">
      <w:pPr>
        <w:rPr>
          <w:rFonts w:ascii="Arial" w:hAnsi="Arial" w:cs="Arial"/>
          <w:b/>
          <w:color w:val="000000"/>
          <w:sz w:val="70"/>
          <w:szCs w:val="70"/>
          <w:lang w:val="pt-PT"/>
        </w:rPr>
      </w:pPr>
    </w:p>
    <w:sectPr w:rsidR="001328F0" w:rsidRPr="00812640" w:rsidSect="003C3B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D4C"/>
    <w:rsid w:val="00087D4C"/>
    <w:rsid w:val="001328F0"/>
    <w:rsid w:val="00241ADC"/>
    <w:rsid w:val="002D5882"/>
    <w:rsid w:val="003C3B0D"/>
    <w:rsid w:val="00812640"/>
    <w:rsid w:val="00863C5C"/>
    <w:rsid w:val="009C1802"/>
    <w:rsid w:val="00E27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B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87D4C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087D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rsid w:val="009C1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18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2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t.wikipedia.org/wiki/22_de_dezembro" TargetMode="External"/><Relationship Id="rId13" Type="http://schemas.openxmlformats.org/officeDocument/2006/relationships/hyperlink" Target="http://pt.wikipedia.org/wiki/2_de_julho" TargetMode="External"/><Relationship Id="rId18" Type="http://schemas.openxmlformats.org/officeDocument/2006/relationships/hyperlink" Target="http://pt.wikipedia.org/wiki/Jos%C3%A9_Viegas" TargetMode="External"/><Relationship Id="rId26" Type="http://schemas.openxmlformats.org/officeDocument/2006/relationships/hyperlink" Target="http://pt.wikipedia.org/wiki/Civi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t.wikipedia.org/wiki/Seguran%C3%A7a_p%C3%BAblica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pt.wikipedia.org/wiki/Lei_10826" TargetMode="External"/><Relationship Id="rId12" Type="http://schemas.openxmlformats.org/officeDocument/2006/relationships/hyperlink" Target="http://pt.wikipedia.org/wiki/Di%C3%A1rio_Oficial_da_Uni%C3%A3o" TargetMode="External"/><Relationship Id="rId17" Type="http://schemas.openxmlformats.org/officeDocument/2006/relationships/hyperlink" Target="http://pt.wikipedia.org/wiki/M%C3%A1rcio_Thomaz_Bastos" TargetMode="External"/><Relationship Id="rId25" Type="http://schemas.openxmlformats.org/officeDocument/2006/relationships/hyperlink" Target="http://pt.wikipedia.org/wiki/Seguran%C3%A7a_privada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pt.wikipedia.org/wiki/Armas_de_fogo" TargetMode="External"/><Relationship Id="rId20" Type="http://schemas.openxmlformats.org/officeDocument/2006/relationships/hyperlink" Target="http://pt.wikipedia.org/wiki/Ex%C3%A9rcito_Brasileiro" TargetMode="External"/><Relationship Id="rId29" Type="http://schemas.openxmlformats.org/officeDocument/2006/relationships/hyperlink" Target="http://pt.wikipedia.org/wiki/23_de_outubro" TargetMode="External"/><Relationship Id="rId1" Type="http://schemas.openxmlformats.org/officeDocument/2006/relationships/styles" Target="styles.xml"/><Relationship Id="rId6" Type="http://schemas.openxmlformats.org/officeDocument/2006/relationships/hyperlink" Target="http://pt.wikipedia.org/wiki/Luiz_In%C3%A1cio_Lula_da_Silva" TargetMode="External"/><Relationship Id="rId11" Type="http://schemas.openxmlformats.org/officeDocument/2006/relationships/hyperlink" Target="http://pt.wikipedia.org/wiki/2004" TargetMode="External"/><Relationship Id="rId24" Type="http://schemas.openxmlformats.org/officeDocument/2006/relationships/hyperlink" Target="http://pt.wikipedia.org/wiki/Servi%C3%A7o_de_intelig%C3%AAncia" TargetMode="External"/><Relationship Id="rId32" Type="http://schemas.openxmlformats.org/officeDocument/2006/relationships/hyperlink" Target="http://pt.wikipedia.org/wiki/Referendo_Sobre_a_Proibi%C3%A7%C3%A3o_do_Com%C3%A9rcio_de_Armas_e_Muni%C3%A7%C3%A3o_no_Brasil" TargetMode="External"/><Relationship Id="rId5" Type="http://schemas.openxmlformats.org/officeDocument/2006/relationships/hyperlink" Target="http://pt.wikipedia.org/wiki/Federal" TargetMode="External"/><Relationship Id="rId15" Type="http://schemas.openxmlformats.org/officeDocument/2006/relationships/hyperlink" Target="http://pt.wikipedia.org/wiki/Rep%C3%BAblica" TargetMode="External"/><Relationship Id="rId23" Type="http://schemas.openxmlformats.org/officeDocument/2006/relationships/hyperlink" Target="http://pt.wikipedia.org/wiki/Pol%C3%ADcia" TargetMode="External"/><Relationship Id="rId28" Type="http://schemas.openxmlformats.org/officeDocument/2006/relationships/hyperlink" Target="http://pt.wikipedia.org/wiki/Campanha_do_Desarmamento" TargetMode="External"/><Relationship Id="rId10" Type="http://schemas.openxmlformats.org/officeDocument/2006/relationships/hyperlink" Target="http://pt.wikipedia.org/wiki/1_de_julho" TargetMode="External"/><Relationship Id="rId19" Type="http://schemas.openxmlformats.org/officeDocument/2006/relationships/hyperlink" Target="http://pt.wikipedia.org/wiki/Pol%C3%ADcia_Federal" TargetMode="External"/><Relationship Id="rId31" Type="http://schemas.openxmlformats.org/officeDocument/2006/relationships/hyperlink" Target="http://pt.wikipedia.org/wiki/Referendo" TargetMode="External"/><Relationship Id="rId4" Type="http://schemas.openxmlformats.org/officeDocument/2006/relationships/hyperlink" Target="http://pt.wikipedia.org/wiki/Lei" TargetMode="External"/><Relationship Id="rId9" Type="http://schemas.openxmlformats.org/officeDocument/2006/relationships/hyperlink" Target="http://pt.wikipedia.org/wiki/2003" TargetMode="External"/><Relationship Id="rId14" Type="http://schemas.openxmlformats.org/officeDocument/2006/relationships/hyperlink" Target="http://pt.wikipedia.org/wiki/2004" TargetMode="External"/><Relationship Id="rId22" Type="http://schemas.openxmlformats.org/officeDocument/2006/relationships/hyperlink" Target="http://pt.wikipedia.org/wiki/For%C3%A7as_Armadas" TargetMode="External"/><Relationship Id="rId27" Type="http://schemas.openxmlformats.org/officeDocument/2006/relationships/hyperlink" Target="http://pt.wikipedia.org/wiki/Legisla%C3%A7%C3%A3o_penal" TargetMode="External"/><Relationship Id="rId30" Type="http://schemas.openxmlformats.org/officeDocument/2006/relationships/hyperlink" Target="http://pt.wikipedia.org/wiki/2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6</Pages>
  <Words>1349</Words>
  <Characters>7288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Estatuto do desarmamento lei 10</dc:title>
  <dc:subject/>
  <dc:creator>admin</dc:creator>
  <cp:keywords/>
  <dc:description/>
  <cp:lastModifiedBy>449035</cp:lastModifiedBy>
  <cp:revision>2</cp:revision>
  <cp:lastPrinted>2012-11-14T23:26:00Z</cp:lastPrinted>
  <dcterms:created xsi:type="dcterms:W3CDTF">2012-11-14T23:27:00Z</dcterms:created>
  <dcterms:modified xsi:type="dcterms:W3CDTF">2012-11-14T23:27:00Z</dcterms:modified>
</cp:coreProperties>
</file>